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079B" w:rsidRDefault="00A640A5">
      <w:pPr>
        <w:adjustRightInd/>
        <w:snapToGrid/>
        <w:spacing w:after="0" w:line="54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</w:rPr>
        <w:t>关于2018年县本级预算调整的方案</w:t>
      </w:r>
    </w:p>
    <w:p w:rsidR="007C079B" w:rsidRDefault="00A640A5">
      <w:pPr>
        <w:spacing w:after="0" w:line="54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——2018年11月28日在第十四届人大常委会第十三次会议上</w:t>
      </w:r>
    </w:p>
    <w:p w:rsidR="007C079B" w:rsidRPr="00A640A5" w:rsidRDefault="00A640A5">
      <w:pPr>
        <w:spacing w:after="0" w:line="540" w:lineRule="exact"/>
        <w:jc w:val="center"/>
        <w:rPr>
          <w:rFonts w:ascii="方正楷体_GBK" w:eastAsia="方正楷体_GBK" w:hAnsi="方正楷体_GBK" w:cs="方正楷体简体"/>
          <w:sz w:val="32"/>
          <w:szCs w:val="32"/>
        </w:rPr>
      </w:pPr>
      <w:r w:rsidRPr="00A640A5">
        <w:rPr>
          <w:rFonts w:ascii="方正楷体_GBK" w:eastAsia="方正楷体_GBK" w:hAnsi="方正楷体_GBK" w:cs="方正楷体简体" w:hint="eastAsia"/>
          <w:sz w:val="32"/>
          <w:szCs w:val="32"/>
        </w:rPr>
        <w:t>中牟县财政局局长  仇向阳</w:t>
      </w:r>
    </w:p>
    <w:p w:rsidR="007C079B" w:rsidRDefault="007C079B">
      <w:pPr>
        <w:spacing w:after="0" w:line="540" w:lineRule="exact"/>
        <w:rPr>
          <w:rFonts w:ascii="Times New Roman" w:eastAsia="方正仿宋_GBK" w:hAnsi="Times New Roman"/>
          <w:sz w:val="32"/>
          <w:szCs w:val="32"/>
        </w:rPr>
      </w:pPr>
    </w:p>
    <w:p w:rsidR="007C079B" w:rsidRDefault="00A640A5">
      <w:pPr>
        <w:spacing w:after="0"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主任、各位副主任、各位委员：</w:t>
      </w:r>
    </w:p>
    <w:p w:rsidR="007C079B" w:rsidRDefault="00A640A5">
      <w:pPr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我受县人民政府委托，向县人大常委会汇报2018年县本级预算调整方案，请予审议。 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</w:t>
      </w:r>
      <w:r>
        <w:rPr>
          <w:rFonts w:ascii="Times New Roman" w:eastAsia="方正黑体_GBK" w:hAnsi="Times New Roman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—</w:t>
      </w:r>
      <w:r>
        <w:rPr>
          <w:rFonts w:ascii="Times New Roman" w:eastAsia="方正黑体_GBK" w:hAnsi="Times New Roman"/>
          <w:sz w:val="32"/>
          <w:szCs w:val="32"/>
        </w:rPr>
        <w:t>10</w:t>
      </w:r>
      <w:r>
        <w:rPr>
          <w:rFonts w:ascii="Times New Roman" w:eastAsia="方正黑体_GBK" w:hAnsi="Times New Roman"/>
          <w:sz w:val="32"/>
          <w:szCs w:val="32"/>
        </w:rPr>
        <w:t>月份预算执行情况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（一）一般公共预算收入完成情况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1—10月份，全县一般公共预算收入完成461558万元，完成收入预期目标528000万元的87.42%，增长11.42%。在郑州六县（市）及省105个县（市）均列第2位。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（二）一般公共预算支出完成情况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1—10月份，全县一般公共预算支出完成794316万元，增长36.1%。其中：县本级一般公共预算支出650927万元，增长48.3%。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（三）政府性基金收支预算完成情况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1—10月份，政府性基金预算收入完成989329万元，下降22.41%，完成年度预算1360576万元的72.71%。政府性基金预算支出完成986027万元，增长73.6%。</w:t>
      </w:r>
    </w:p>
    <w:p w:rsidR="007C079B" w:rsidRDefault="00A640A5">
      <w:pPr>
        <w:widowControl w:val="0"/>
        <w:overflowPunct w:val="0"/>
        <w:adjustRightInd/>
        <w:snapToGrid/>
        <w:spacing w:after="0" w:line="540" w:lineRule="exact"/>
        <w:ind w:firstLineChars="200" w:firstLine="640"/>
        <w:jc w:val="both"/>
        <w:textAlignment w:val="baseline"/>
        <w:rPr>
          <w:rFonts w:ascii="方正黑体_GBK" w:eastAsia="方正黑体_GBK" w:hAnsi="方正黑体_GBK"/>
          <w:sz w:val="24"/>
        </w:rPr>
      </w:pPr>
      <w:r>
        <w:rPr>
          <w:rFonts w:ascii="方正黑体_GBK" w:eastAsia="方正黑体_GBK" w:hAnsi="方正黑体_GBK" w:hint="eastAsia"/>
          <w:sz w:val="32"/>
        </w:rPr>
        <w:t>二</w:t>
      </w:r>
      <w:r>
        <w:rPr>
          <w:rFonts w:ascii="方正黑体_GBK" w:eastAsia="方正黑体_GBK" w:hAnsi="方正黑体_GBK"/>
          <w:sz w:val="32"/>
        </w:rPr>
        <w:t>、新增政府债券及置换债券安排意见</w:t>
      </w:r>
    </w:p>
    <w:p w:rsidR="007C079B" w:rsidRDefault="00A640A5">
      <w:pPr>
        <w:widowControl w:val="0"/>
        <w:overflowPunct w:val="0"/>
        <w:adjustRightInd/>
        <w:snapToGrid/>
        <w:spacing w:after="0" w:line="540" w:lineRule="exact"/>
        <w:ind w:firstLineChars="200" w:firstLine="640"/>
        <w:jc w:val="both"/>
        <w:textAlignment w:val="baseline"/>
        <w:rPr>
          <w:rFonts w:ascii="方正楷体_GBK" w:eastAsia="方正楷体_GBK" w:hAnsi="方正楷体_GBK"/>
          <w:sz w:val="32"/>
        </w:rPr>
      </w:pPr>
      <w:r>
        <w:rPr>
          <w:rFonts w:ascii="方正楷体_GBK" w:eastAsia="方正楷体_GBK" w:hAnsi="方正楷体_GBK"/>
          <w:sz w:val="32"/>
        </w:rPr>
        <w:t>（一）新增债券安排意见</w:t>
      </w:r>
    </w:p>
    <w:p w:rsidR="007C079B" w:rsidRDefault="00A640A5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经过积极争取，省财政厅核定我县2018年新增债券90887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万元，其中：一般债券23061万元，专项债券67826万元，按要求纳入预算管理。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部要求，新增债券资金要依法用于公益性资本支出，优先用于保障在建公益性项目后续融资，优先用于支持扶贫、农业供给侧结构性改革、棚户区改造、“一带一路”建设等重大公益性项目支出，不得用于经常性支出和楼堂馆所等中央明令禁止的项目支出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述要求，结合我县经济社会发展需要和县本级预算安排情况，新增一般债券23061万元主要用于公路建设、广惠街大桥新建工程、汽车工业园区道路建设、殡仪馆迁建及配套设备等项目；专项债券67826万元主要安排用于绿博一号地块土地开发整理项目。</w:t>
      </w:r>
    </w:p>
    <w:p w:rsidR="007C079B" w:rsidRDefault="00A640A5">
      <w:pPr>
        <w:widowControl w:val="0"/>
        <w:numPr>
          <w:ilvl w:val="0"/>
          <w:numId w:val="1"/>
        </w:numPr>
        <w:overflowPunct w:val="0"/>
        <w:spacing w:after="0" w:line="560" w:lineRule="exact"/>
        <w:ind w:firstLineChars="200" w:firstLine="640"/>
        <w:jc w:val="both"/>
        <w:textAlignment w:val="baseline"/>
        <w:rPr>
          <w:rFonts w:ascii="方正黑体_GBK" w:eastAsia="方正黑体_GBK" w:hAnsi="方正黑体_GBK" w:cs="方正黑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预算稳定调节基金安排意见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根据预算执行中县委、县政府确定的增支政策，建议动用预算稳定调节基金72176万元。</w:t>
      </w:r>
    </w:p>
    <w:p w:rsidR="007C079B" w:rsidRDefault="00A640A5">
      <w:pPr>
        <w:widowControl w:val="0"/>
        <w:overflowPunct w:val="0"/>
        <w:adjustRightInd/>
        <w:snapToGrid/>
        <w:spacing w:after="0" w:line="560" w:lineRule="exact"/>
        <w:ind w:firstLineChars="200" w:firstLine="640"/>
        <w:jc w:val="both"/>
        <w:textAlignment w:val="baseline"/>
        <w:rPr>
          <w:rFonts w:ascii="方正黑体_GBK" w:eastAsia="方正黑体_GBK" w:hAnsi="方正黑体_GBK"/>
          <w:sz w:val="32"/>
        </w:rPr>
      </w:pPr>
      <w:r>
        <w:rPr>
          <w:rFonts w:ascii="方正黑体_GBK" w:eastAsia="方正黑体_GBK" w:hAnsi="方正黑体_GBK" w:hint="eastAsia"/>
          <w:sz w:val="32"/>
        </w:rPr>
        <w:t>四</w:t>
      </w:r>
      <w:r>
        <w:rPr>
          <w:rFonts w:ascii="方正黑体_GBK" w:eastAsia="方正黑体_GBK" w:hAnsi="方正黑体_GBK"/>
          <w:sz w:val="32"/>
        </w:rPr>
        <w:t>、县本级预算调整方案</w:t>
      </w:r>
    </w:p>
    <w:p w:rsidR="007C079B" w:rsidRDefault="00A640A5">
      <w:pPr>
        <w:widowControl w:val="0"/>
        <w:overflowPunct w:val="0"/>
        <w:adjustRightInd/>
        <w:snapToGrid/>
        <w:spacing w:after="0" w:line="560" w:lineRule="exact"/>
        <w:ind w:firstLineChars="200" w:firstLine="640"/>
        <w:jc w:val="both"/>
        <w:textAlignment w:val="baseline"/>
        <w:rPr>
          <w:rFonts w:ascii="方正楷体_GBK" w:eastAsia="方正楷体_GBK" w:hAnsi="方正楷体_GBK"/>
          <w:sz w:val="32"/>
        </w:rPr>
      </w:pPr>
      <w:r>
        <w:rPr>
          <w:rFonts w:ascii="方正楷体_GBK" w:eastAsia="方正楷体_GBK" w:hAnsi="方正楷体_GBK"/>
          <w:sz w:val="32"/>
        </w:rPr>
        <w:t>（一）</w:t>
      </w:r>
      <w:r>
        <w:rPr>
          <w:rFonts w:ascii="方正楷体_GBK" w:eastAsia="方正楷体_GBK" w:hAnsi="方正楷体_GBK" w:hint="eastAsia"/>
          <w:sz w:val="32"/>
        </w:rPr>
        <w:t>县本</w:t>
      </w:r>
      <w:r>
        <w:rPr>
          <w:rFonts w:ascii="方正楷体_GBK" w:eastAsia="方正楷体_GBK" w:hAnsi="方正楷体_GBK"/>
          <w:sz w:val="32"/>
        </w:rPr>
        <w:t>级一般公共预算调整方案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1．增加上级一般性转移支付收入20707万元。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2．增加预算稳定调节基金72176万元。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3．增加一般债券收入23061万元。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4．增加县本级一般公共预算支出115944万元，根据实际使用方向列入相应支出科目。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预算调整后，2018年县本级一般公共预算收入总计710561万元，比本次调整前增加115944万元，其中：县本级一般公共预算收入仍为251000万元；上级一般性转移支付收入增加20707万元；动用预算稳定调节基金72176万元；一般债券收入增加23061万元。2018年县本级一般公共预算支出总计710561万元，比本次调整前增加115944万元。</w:t>
      </w:r>
    </w:p>
    <w:p w:rsidR="007C079B" w:rsidRDefault="00A640A5">
      <w:pPr>
        <w:widowControl w:val="0"/>
        <w:overflowPunct w:val="0"/>
        <w:adjustRightInd/>
        <w:snapToGrid/>
        <w:spacing w:after="0" w:line="560" w:lineRule="exact"/>
        <w:ind w:firstLineChars="200" w:firstLine="640"/>
        <w:jc w:val="both"/>
        <w:textAlignment w:val="baseline"/>
        <w:rPr>
          <w:rFonts w:ascii="方正楷体_GBK" w:eastAsia="方正楷体_GBK" w:hAnsi="方正楷体_GBK"/>
          <w:sz w:val="32"/>
        </w:rPr>
      </w:pPr>
      <w:r>
        <w:rPr>
          <w:rFonts w:ascii="方正楷体_GBK" w:eastAsia="方正楷体_GBK" w:hAnsi="方正楷体_GBK"/>
          <w:sz w:val="32"/>
        </w:rPr>
        <w:t>（二）</w:t>
      </w:r>
      <w:r>
        <w:rPr>
          <w:rFonts w:ascii="方正楷体_GBK" w:eastAsia="方正楷体_GBK" w:hAnsi="方正楷体_GBK" w:hint="eastAsia"/>
          <w:sz w:val="32"/>
        </w:rPr>
        <w:t>县本级</w:t>
      </w:r>
      <w:r>
        <w:rPr>
          <w:rFonts w:ascii="方正楷体_GBK" w:eastAsia="方正楷体_GBK" w:hAnsi="方正楷体_GBK"/>
          <w:sz w:val="32"/>
        </w:rPr>
        <w:t>政府性基金预算调整方案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1．增加地方政府专项债券收入67826万元；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2．因宏观经济下行压力及房产政策性调控冲击，国有土地交易量减少，国有土地使用权出让收入调减140000万元，城市基础设施配套费收入调减20000万元。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算调整后，2018年县本级政府性基金预算收入总计1327744万元，比本次调整前减少91374万元，其中：县本级政府性基金预算收入1201376万元；新增专项债劵收入67826万元。县本级政府性基金预算支出总计1327744万元，比本次调整前减少32832万元，其中：县本级政府性基金预算支出1320527万元；债务还本支出7217万元。</w:t>
      </w:r>
    </w:p>
    <w:p w:rsidR="007C079B" w:rsidRDefault="00A640A5">
      <w:pPr>
        <w:widowControl w:val="0"/>
        <w:overflowPunct w:val="0"/>
        <w:adjustRightInd/>
        <w:snapToGrid/>
        <w:spacing w:after="0" w:line="560" w:lineRule="exact"/>
        <w:ind w:firstLineChars="200" w:firstLine="640"/>
        <w:jc w:val="both"/>
        <w:textAlignment w:val="baseline"/>
        <w:rPr>
          <w:rFonts w:ascii="方正楷体_GBK" w:eastAsia="方正楷体_GBK" w:hAnsi="方正楷体_GBK"/>
          <w:sz w:val="32"/>
        </w:rPr>
      </w:pPr>
      <w:r>
        <w:rPr>
          <w:rFonts w:ascii="方正楷体_GBK" w:eastAsia="方正楷体_GBK" w:hAnsi="方正楷体_GBK" w:hint="eastAsia"/>
          <w:sz w:val="32"/>
        </w:rPr>
        <w:t>（三）社会保险基金预算调整方案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社会保险基金管理改革，除机关事业基本养老保险外，城镇职工基本医疗保险、居民基本医疗保险、生育保险均由上级统筹。上划各项预算均需进行调减。预算调整后，2018年社会保险基金预算收入25000万元，社会保险基金预算支出26000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万元。</w:t>
      </w:r>
    </w:p>
    <w:p w:rsidR="007C079B" w:rsidRDefault="00A640A5">
      <w:pPr>
        <w:widowControl w:val="0"/>
        <w:overflowPunct w:val="0"/>
        <w:adjustRightInd/>
        <w:snapToGrid/>
        <w:spacing w:after="0" w:line="560" w:lineRule="exact"/>
        <w:ind w:firstLineChars="200" w:firstLine="640"/>
        <w:jc w:val="both"/>
        <w:textAlignment w:val="baseline"/>
        <w:rPr>
          <w:rFonts w:ascii="方正楷体_GBK" w:eastAsia="方正楷体_GBK" w:hAnsi="方正楷体_GBK"/>
          <w:sz w:val="32"/>
        </w:rPr>
      </w:pPr>
      <w:r>
        <w:rPr>
          <w:rFonts w:ascii="方正楷体_GBK" w:eastAsia="方正楷体_GBK" w:hAnsi="方正楷体_GBK" w:hint="eastAsia"/>
          <w:sz w:val="32"/>
        </w:rPr>
        <w:t>（四）国有资本经营预算调整方案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国有资本经营预算保持不变，收入预算为2600万元，支出预算为2600万元。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以上调整方案，请予审议。</w:t>
      </w:r>
    </w:p>
    <w:p w:rsidR="007C079B" w:rsidRDefault="007C079B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附件：1．2018年县本级一般公共预算调整表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2．2018年县本级政府性基金预算调整表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3．2018年社会保险基金收支预算调整表</w:t>
      </w:r>
    </w:p>
    <w:p w:rsidR="007C079B" w:rsidRDefault="00A640A5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4．2018年国有资本经营收支预算调整表</w:t>
      </w:r>
    </w:p>
    <w:p w:rsidR="007C079B" w:rsidRDefault="007C079B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</w:rPr>
      </w:pPr>
    </w:p>
    <w:p w:rsidR="007C079B" w:rsidRDefault="007C079B">
      <w:pPr>
        <w:adjustRightInd/>
        <w:snapToGrid/>
        <w:spacing w:after="0" w:line="560" w:lineRule="exact"/>
        <w:jc w:val="both"/>
        <w:rPr>
          <w:rFonts w:ascii="Times New Roman" w:eastAsia="方正仿宋_GBK" w:hAnsi="Times New Roman"/>
        </w:rPr>
      </w:pPr>
    </w:p>
    <w:p w:rsidR="007C079B" w:rsidRDefault="00A640A5">
      <w:pPr>
        <w:adjustRightInd/>
        <w:snapToGrid/>
        <w:spacing w:after="0"/>
        <w:rPr>
          <w:rFonts w:ascii="Times New Roman" w:eastAsia="方正仿宋_GBK" w:hAnsi="Times New Roman"/>
          <w:spacing w:val="-5"/>
          <w:sz w:val="32"/>
        </w:rPr>
      </w:pPr>
      <w:r>
        <w:rPr>
          <w:rFonts w:ascii="Times New Roman" w:eastAsia="方正仿宋_GBK" w:hAnsi="Times New Roman"/>
          <w:spacing w:val="-5"/>
          <w:sz w:val="32"/>
        </w:rPr>
        <w:br w:type="page"/>
      </w:r>
    </w:p>
    <w:p w:rsidR="007C079B" w:rsidRDefault="00A640A5">
      <w:pPr>
        <w:adjustRightInd/>
        <w:snapToGrid/>
        <w:spacing w:after="0"/>
        <w:rPr>
          <w:rFonts w:ascii="Times New Roman" w:eastAsia="方正仿宋_GBK" w:hAnsi="Times New Roman"/>
          <w:spacing w:val="-5"/>
          <w:sz w:val="32"/>
        </w:rPr>
      </w:pPr>
      <w:r>
        <w:rPr>
          <w:noProof/>
        </w:rPr>
        <w:lastRenderedPageBreak/>
        <w:drawing>
          <wp:inline distT="0" distB="0" distL="0" distR="0">
            <wp:extent cx="5615305" cy="7972425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578" cy="79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9B" w:rsidRDefault="00A640A5">
      <w:pPr>
        <w:adjustRightInd/>
        <w:snapToGrid/>
        <w:spacing w:after="0"/>
        <w:rPr>
          <w:rFonts w:ascii="Times New Roman" w:eastAsia="方正仿宋_GBK" w:hAnsi="Times New Roman"/>
          <w:spacing w:val="-5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1298575</wp:posOffset>
            </wp:positionV>
            <wp:extent cx="7899400" cy="5340350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940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79B" w:rsidRDefault="00A640A5">
      <w:pPr>
        <w:adjustRightInd/>
        <w:snapToGrid/>
        <w:spacing w:after="0"/>
        <w:rPr>
          <w:rFonts w:ascii="Times New Roman" w:eastAsia="方正仿宋_GBK" w:hAnsi="Times New Roman"/>
          <w:spacing w:val="-5"/>
          <w:sz w:val="32"/>
        </w:rPr>
      </w:pPr>
      <w:r>
        <w:rPr>
          <w:noProof/>
        </w:rPr>
        <w:lastRenderedPageBreak/>
        <w:drawing>
          <wp:inline distT="0" distB="0" distL="0" distR="0">
            <wp:extent cx="5624195" cy="79705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9395" cy="800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9B" w:rsidRDefault="00A640A5">
      <w:pPr>
        <w:adjustRightInd/>
        <w:snapToGrid/>
        <w:spacing w:after="0"/>
        <w:rPr>
          <w:rFonts w:ascii="Times New Roman" w:eastAsia="方正仿宋_GBK" w:hAnsi="Times New Roman"/>
          <w:spacing w:val="-5"/>
          <w:sz w:val="32"/>
        </w:rPr>
      </w:pPr>
      <w:r>
        <w:rPr>
          <w:noProof/>
        </w:rPr>
        <w:lastRenderedPageBreak/>
        <w:drawing>
          <wp:inline distT="0" distB="0" distL="0" distR="0">
            <wp:extent cx="7793990" cy="5577840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5932" cy="55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79B">
      <w:footerReference w:type="default" r:id="rId12"/>
      <w:pgSz w:w="11906" w:h="16838"/>
      <w:pgMar w:top="2098" w:right="1474" w:bottom="1984" w:left="1587" w:header="850" w:footer="1701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D1" w:rsidRDefault="008860D1">
      <w:pPr>
        <w:spacing w:after="0"/>
      </w:pPr>
      <w:r>
        <w:separator/>
      </w:r>
    </w:p>
  </w:endnote>
  <w:endnote w:type="continuationSeparator" w:id="0">
    <w:p w:rsidR="008860D1" w:rsidRDefault="00886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楷体_GBK">
    <w:altName w:val="宋体"/>
    <w:charset w:val="86"/>
    <w:family w:val="auto"/>
    <w:pitch w:val="variable"/>
    <w:sig w:usb0="00000000" w:usb1="38CF7CFA" w:usb2="00082016" w:usb3="00000000" w:csb0="00040001" w:csb1="00000000"/>
  </w:font>
  <w:font w:name="方正楷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charset w:val="86"/>
    <w:family w:val="auto"/>
    <w:pitch w:val="variable"/>
    <w:sig w:usb0="00000000" w:usb1="38CF7CFA" w:usb2="00082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宋体"/>
    <w:charset w:val="86"/>
    <w:family w:val="auto"/>
    <w:pitch w:val="variable"/>
    <w:sig w:usb0="00000000" w:usb1="38CF7CFA" w:usb2="00082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9B" w:rsidRDefault="00A640A5">
    <w:pPr>
      <w:pStyle w:val="11"/>
      <w:framePr w:wrap="around" w:vAnchor="text" w:hAnchor="margin" w:xAlign="outside" w:yAlign="top"/>
      <w:spacing w:after="0"/>
      <w:ind w:rightChars="179" w:right="394"/>
      <w:jc w:val="right"/>
      <w:textAlignment w:val="baseline"/>
    </w:pPr>
    <w:r>
      <w:rPr>
        <w:rFonts w:ascii="Times New Roman" w:hAnsi="Times New Roman" w:hint="eastAsia"/>
        <w:sz w:val="28"/>
      </w:rPr>
      <w:t xml:space="preserve"> </w:t>
    </w:r>
    <w:r>
      <w:rPr>
        <w:rFonts w:ascii="Times New Roman" w:hAnsi="Times New Roman"/>
        <w:sz w:val="28"/>
      </w:rPr>
      <w:t>—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 w:rsidR="00FE520F">
      <w:rPr>
        <w:rFonts w:ascii="Times New Roman" w:hAnsi="Times New Roman"/>
        <w:noProof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—</w:t>
    </w:r>
  </w:p>
  <w:p w:rsidR="007C079B" w:rsidRDefault="007C079B">
    <w:pPr>
      <w:pStyle w:val="11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D1" w:rsidRDefault="008860D1">
      <w:pPr>
        <w:spacing w:after="0"/>
      </w:pPr>
      <w:r>
        <w:separator/>
      </w:r>
    </w:p>
  </w:footnote>
  <w:footnote w:type="continuationSeparator" w:id="0">
    <w:p w:rsidR="008860D1" w:rsidRDefault="008860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B804"/>
    <w:multiLevelType w:val="singleLevel"/>
    <w:tmpl w:val="5BDAB80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B15"/>
    <w:rsid w:val="00057992"/>
    <w:rsid w:val="001033E7"/>
    <w:rsid w:val="00117FC6"/>
    <w:rsid w:val="00172A27"/>
    <w:rsid w:val="001A7EBC"/>
    <w:rsid w:val="001E1187"/>
    <w:rsid w:val="002A6821"/>
    <w:rsid w:val="002A7DF1"/>
    <w:rsid w:val="00337722"/>
    <w:rsid w:val="003568B4"/>
    <w:rsid w:val="003728AB"/>
    <w:rsid w:val="003D0679"/>
    <w:rsid w:val="00404361"/>
    <w:rsid w:val="004F1FC2"/>
    <w:rsid w:val="005409CD"/>
    <w:rsid w:val="0055669B"/>
    <w:rsid w:val="00647C2B"/>
    <w:rsid w:val="006D2BF0"/>
    <w:rsid w:val="007B5232"/>
    <w:rsid w:val="007C079B"/>
    <w:rsid w:val="007D10A5"/>
    <w:rsid w:val="008860D1"/>
    <w:rsid w:val="009B467B"/>
    <w:rsid w:val="009B65A2"/>
    <w:rsid w:val="00A640A5"/>
    <w:rsid w:val="00A87D14"/>
    <w:rsid w:val="00C16517"/>
    <w:rsid w:val="00C73C86"/>
    <w:rsid w:val="00CD0EF5"/>
    <w:rsid w:val="00EF52A8"/>
    <w:rsid w:val="00F0209C"/>
    <w:rsid w:val="00F52CFE"/>
    <w:rsid w:val="00FE520F"/>
    <w:rsid w:val="09DA3AC5"/>
    <w:rsid w:val="1D7F6DD4"/>
    <w:rsid w:val="2BA543B6"/>
    <w:rsid w:val="424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18624B8-F627-4372-A866-97C1694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1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character" w:styleId="a6">
    <w:name w:val="Hyperlink"/>
    <w:qFormat/>
    <w:rPr>
      <w:color w:val="000000"/>
      <w:sz w:val="18"/>
      <w:u w:val="none"/>
    </w:rPr>
  </w:style>
  <w:style w:type="character" w:customStyle="1" w:styleId="a7">
    <w:name w:val="页脚 字符"/>
    <w:link w:val="11"/>
    <w:qFormat/>
    <w:rPr>
      <w:rFonts w:ascii="Tahoma" w:hAnsi="Tahoma"/>
      <w:sz w:val="18"/>
    </w:rPr>
  </w:style>
  <w:style w:type="paragraph" w:customStyle="1" w:styleId="11">
    <w:name w:val="页脚1"/>
    <w:basedOn w:val="a"/>
    <w:link w:val="a7"/>
    <w:qFormat/>
    <w:pPr>
      <w:tabs>
        <w:tab w:val="center" w:pos="4153"/>
        <w:tab w:val="right" w:pos="8306"/>
      </w:tabs>
    </w:pPr>
    <w:rPr>
      <w:sz w:val="18"/>
    </w:rPr>
  </w:style>
  <w:style w:type="character" w:customStyle="1" w:styleId="a8">
    <w:name w:val="批注框文本 字符"/>
    <w:link w:val="12"/>
    <w:qFormat/>
    <w:rPr>
      <w:rFonts w:ascii="Tahoma" w:hAnsi="Tahoma"/>
      <w:sz w:val="18"/>
    </w:rPr>
  </w:style>
  <w:style w:type="paragraph" w:customStyle="1" w:styleId="12">
    <w:name w:val="批注框文本1"/>
    <w:basedOn w:val="a"/>
    <w:link w:val="a8"/>
    <w:qFormat/>
    <w:pPr>
      <w:spacing w:after="0"/>
    </w:pPr>
    <w:rPr>
      <w:sz w:val="18"/>
    </w:rPr>
  </w:style>
  <w:style w:type="character" w:customStyle="1" w:styleId="a9">
    <w:name w:val="页眉 字符"/>
    <w:link w:val="13"/>
    <w:qFormat/>
    <w:rPr>
      <w:rFonts w:ascii="Tahoma" w:hAnsi="Tahoma"/>
      <w:sz w:val="18"/>
    </w:rPr>
  </w:style>
  <w:style w:type="paragraph" w:customStyle="1" w:styleId="13">
    <w:name w:val="页眉1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character" w:customStyle="1" w:styleId="10">
    <w:name w:val="页脚 字符1"/>
    <w:basedOn w:val="a0"/>
    <w:link w:val="a4"/>
    <w:qFormat/>
    <w:rPr>
      <w:rFonts w:ascii="Tahoma" w:eastAsia="微软雅黑" w:hAnsi="Tahoma"/>
      <w:sz w:val="18"/>
      <w:szCs w:val="18"/>
    </w:rPr>
  </w:style>
  <w:style w:type="character" w:customStyle="1" w:styleId="1">
    <w:name w:val="批注框文本 字符1"/>
    <w:basedOn w:val="a0"/>
    <w:link w:val="a3"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预算调整</dc:title>
  <dc:creator>财政局 预算科</dc:creator>
  <cp:lastModifiedBy>Administrator</cp:lastModifiedBy>
  <cp:revision>2</cp:revision>
  <cp:lastPrinted>2018-11-23T01:50:00Z</cp:lastPrinted>
  <dcterms:created xsi:type="dcterms:W3CDTF">2019-01-14T07:35:00Z</dcterms:created>
  <dcterms:modified xsi:type="dcterms:W3CDTF">2019-01-14T07:35:00Z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